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F82F00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College Curriculum Review</w:t>
      </w:r>
      <w:r w:rsidR="00AD335B">
        <w:rPr>
          <w:rFonts w:asciiTheme="minorHAnsi" w:hAnsiTheme="minorHAnsi" w:cs="Arial"/>
          <w:sz w:val="28"/>
          <w:szCs w:val="28"/>
        </w:rPr>
        <w:t xml:space="preserve">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EC63D2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</w:t>
      </w:r>
      <w:r w:rsidR="00F82F00">
        <w:rPr>
          <w:rFonts w:asciiTheme="minorHAnsi" w:hAnsiTheme="minorHAnsi" w:cs="Arial"/>
          <w:sz w:val="28"/>
          <w:szCs w:val="28"/>
        </w:rPr>
        <w:t xml:space="preserve"> 9/9/20</w:t>
      </w:r>
    </w:p>
    <w:p w:rsidR="00711B60" w:rsidRPr="007149F3" w:rsidRDefault="00DF6642" w:rsidP="00DB1F95">
      <w:pPr>
        <w:jc w:val="center"/>
        <w:rPr>
          <w:rFonts w:ascii="Arial" w:hAnsi="Arial" w:cs="Arial"/>
          <w:sz w:val="22"/>
          <w:szCs w:val="20"/>
        </w:rPr>
      </w:pPr>
      <w:r w:rsidRPr="007149F3">
        <w:rPr>
          <w:rFonts w:ascii="Arial" w:hAnsi="Arial" w:cs="Arial"/>
          <w:sz w:val="22"/>
          <w:szCs w:val="20"/>
        </w:rPr>
        <w:t xml:space="preserve"> </w:t>
      </w:r>
    </w:p>
    <w:p w:rsidR="002419CB" w:rsidRPr="007149F3" w:rsidRDefault="00F563FC" w:rsidP="00AD335B">
      <w:pPr>
        <w:tabs>
          <w:tab w:val="left" w:pos="1800"/>
        </w:tabs>
        <w:ind w:left="-180"/>
        <w:rPr>
          <w:rFonts w:ascii="Calibri" w:hAnsi="Calibri" w:cs="Arial"/>
          <w:szCs w:val="22"/>
        </w:rPr>
      </w:pPr>
      <w:r w:rsidRPr="007149F3">
        <w:rPr>
          <w:rFonts w:ascii="Calibri" w:hAnsi="Calibri" w:cs="Arial"/>
          <w:szCs w:val="22"/>
          <w:u w:val="single"/>
        </w:rPr>
        <w:t xml:space="preserve">Members </w:t>
      </w:r>
      <w:r w:rsidR="00D44E9E" w:rsidRPr="007149F3">
        <w:rPr>
          <w:rFonts w:ascii="Calibri" w:hAnsi="Calibri" w:cs="Arial"/>
          <w:szCs w:val="22"/>
          <w:u w:val="single"/>
        </w:rPr>
        <w:t>Present</w:t>
      </w:r>
      <w:r w:rsidR="00D44E9E" w:rsidRPr="007149F3">
        <w:rPr>
          <w:rFonts w:ascii="Calibri" w:hAnsi="Calibri" w:cs="Arial"/>
          <w:szCs w:val="22"/>
        </w:rPr>
        <w:t>:</w:t>
      </w:r>
      <w:r w:rsidR="002E75AC" w:rsidRPr="007149F3">
        <w:rPr>
          <w:rFonts w:ascii="Calibri" w:hAnsi="Calibri" w:cs="Arial"/>
          <w:szCs w:val="22"/>
        </w:rPr>
        <w:t xml:space="preserve"> Carol Costell Corbin, Carol Van Der Karr, Christina Price, Chris Ortega, Eileen Gravani, Kate Polasek, Kim Rombach, </w:t>
      </w:r>
      <w:proofErr w:type="spellStart"/>
      <w:r w:rsidR="002E75AC" w:rsidRPr="007149F3">
        <w:rPr>
          <w:rFonts w:ascii="Calibri" w:hAnsi="Calibri" w:cs="Arial"/>
          <w:szCs w:val="22"/>
        </w:rPr>
        <w:t>Maaike</w:t>
      </w:r>
      <w:proofErr w:type="spellEnd"/>
      <w:r w:rsidR="002E75AC" w:rsidRPr="007149F3">
        <w:rPr>
          <w:rFonts w:ascii="Calibri" w:hAnsi="Calibri" w:cs="Arial"/>
          <w:szCs w:val="22"/>
        </w:rPr>
        <w:t xml:space="preserve"> </w:t>
      </w:r>
      <w:proofErr w:type="spellStart"/>
      <w:r w:rsidR="002E75AC" w:rsidRPr="007149F3">
        <w:rPr>
          <w:rFonts w:ascii="Calibri" w:hAnsi="Calibri" w:cs="Arial"/>
          <w:szCs w:val="22"/>
        </w:rPr>
        <w:t>Oldemans</w:t>
      </w:r>
      <w:proofErr w:type="spellEnd"/>
      <w:r w:rsidR="002E75AC" w:rsidRPr="007149F3">
        <w:rPr>
          <w:rFonts w:ascii="Calibri" w:hAnsi="Calibri" w:cs="Arial"/>
          <w:szCs w:val="22"/>
        </w:rPr>
        <w:t xml:space="preserve">, Michele Gonzales, Nancy Diller, Pam Schroeder, Phil Gibson, Ryan </w:t>
      </w:r>
      <w:proofErr w:type="spellStart"/>
      <w:r w:rsidR="002E75AC" w:rsidRPr="007149F3">
        <w:rPr>
          <w:rFonts w:ascii="Calibri" w:hAnsi="Calibri" w:cs="Arial"/>
          <w:szCs w:val="22"/>
        </w:rPr>
        <w:t>Vooris</w:t>
      </w:r>
      <w:proofErr w:type="spellEnd"/>
      <w:r w:rsidR="002E75AC" w:rsidRPr="007149F3">
        <w:rPr>
          <w:rFonts w:ascii="Calibri" w:hAnsi="Calibri" w:cs="Arial"/>
          <w:szCs w:val="22"/>
        </w:rPr>
        <w:t>, Vince DeTuri</w:t>
      </w:r>
      <w:r w:rsidR="00D44E9E" w:rsidRPr="007149F3">
        <w:rPr>
          <w:rFonts w:ascii="Calibri" w:hAnsi="Calibri" w:cs="Arial"/>
          <w:szCs w:val="22"/>
        </w:rPr>
        <w:t xml:space="preserve"> </w:t>
      </w:r>
      <w:r w:rsidR="00FF752D" w:rsidRPr="007149F3">
        <w:rPr>
          <w:rFonts w:ascii="Calibri" w:hAnsi="Calibri" w:cs="Arial"/>
          <w:szCs w:val="22"/>
        </w:rPr>
        <w:tab/>
      </w:r>
    </w:p>
    <w:p w:rsidR="003B03C3" w:rsidRPr="007149F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4"/>
          <w:szCs w:val="12"/>
          <w:u w:val="single"/>
        </w:rPr>
      </w:pPr>
    </w:p>
    <w:p w:rsidR="00E57F3A" w:rsidRPr="007149F3" w:rsidRDefault="00C20440" w:rsidP="00AD335B">
      <w:pPr>
        <w:tabs>
          <w:tab w:val="left" w:pos="1800"/>
        </w:tabs>
        <w:ind w:left="-180"/>
        <w:rPr>
          <w:rFonts w:ascii="Calibri" w:hAnsi="Calibri" w:cs="Arial"/>
          <w:szCs w:val="22"/>
        </w:rPr>
      </w:pPr>
      <w:r w:rsidRPr="007149F3">
        <w:rPr>
          <w:rFonts w:ascii="Calibri" w:hAnsi="Calibri" w:cs="Arial"/>
          <w:szCs w:val="22"/>
          <w:u w:val="single"/>
        </w:rPr>
        <w:t>Members Absent</w:t>
      </w:r>
      <w:r w:rsidR="008B07E4" w:rsidRPr="007149F3">
        <w:rPr>
          <w:rFonts w:ascii="Calibri" w:hAnsi="Calibri" w:cs="Arial"/>
          <w:szCs w:val="22"/>
          <w:u w:val="single"/>
        </w:rPr>
        <w:t>:</w:t>
      </w:r>
      <w:r w:rsidR="00AD335B" w:rsidRPr="007149F3">
        <w:rPr>
          <w:rFonts w:ascii="Calibri" w:hAnsi="Calibri" w:cs="Arial"/>
          <w:szCs w:val="22"/>
        </w:rPr>
        <w:t xml:space="preserve"> </w:t>
      </w:r>
      <w:r w:rsidR="001D6FF5" w:rsidRPr="007149F3">
        <w:rPr>
          <w:rFonts w:ascii="Calibri" w:hAnsi="Calibri" w:cs="Arial"/>
          <w:szCs w:val="22"/>
        </w:rPr>
        <w:t>Ronnie Casella</w:t>
      </w:r>
      <w:r w:rsidR="00AD335B" w:rsidRPr="007149F3">
        <w:rPr>
          <w:rFonts w:ascii="Calibri" w:hAnsi="Calibri" w:cs="Arial"/>
          <w:szCs w:val="22"/>
        </w:rPr>
        <w:tab/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518"/>
        <w:gridCol w:w="6840"/>
        <w:gridCol w:w="2706"/>
      </w:tblGrid>
      <w:tr w:rsidR="0073369C" w:rsidRPr="00783B86" w:rsidTr="007149F3">
        <w:trPr>
          <w:trHeight w:val="430"/>
        </w:trPr>
        <w:tc>
          <w:tcPr>
            <w:tcW w:w="4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27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5E6865" w:rsidRPr="00506C33" w:rsidTr="0038605F">
        <w:trPr>
          <w:trHeight w:val="432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Default="005E6865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9B42B0" w:rsidRDefault="005E6865" w:rsidP="00EC63D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506C33" w:rsidRDefault="005E686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6865" w:rsidRPr="00506C33" w:rsidTr="007149F3">
        <w:trPr>
          <w:trHeight w:val="378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Default="005E6865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2E75AC">
              <w:rPr>
                <w:rFonts w:ascii="Calibri" w:hAnsi="Calibri"/>
                <w:sz w:val="22"/>
                <w:szCs w:val="22"/>
              </w:rPr>
              <w:t>Election of Chair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BA1951" w:rsidRDefault="005E6865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Kate Polasek volunteered to serve as chair and was approved unanimously 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506C33" w:rsidRDefault="005E686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E6865" w:rsidRPr="00506C33" w:rsidTr="007149F3">
        <w:trPr>
          <w:trHeight w:val="378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2E75AC" w:rsidRDefault="005E6865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 Information and Resources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BA1951" w:rsidRDefault="005E6865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Discussed CCRC duties listed in </w:t>
            </w:r>
            <w:hyperlink r:id="rId7" w:anchor="Anchor-130.01" w:history="1">
              <w:r w:rsidRPr="007149F3">
                <w:rPr>
                  <w:rStyle w:val="Hyperlink"/>
                  <w:rFonts w:ascii="Calibri" w:hAnsi="Calibri"/>
                  <w:sz w:val="22"/>
                  <w:szCs w:val="22"/>
                </w:rPr>
                <w:t>Handbook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, committee information listed in the </w:t>
            </w:r>
            <w:hyperlink r:id="rId8" w:history="1">
              <w:r w:rsidRPr="007149F3">
                <w:rPr>
                  <w:rStyle w:val="Hyperlink"/>
                  <w:rFonts w:ascii="Calibri" w:hAnsi="Calibri"/>
                  <w:sz w:val="22"/>
                  <w:szCs w:val="22"/>
                </w:rPr>
                <w:t>Curriculum Change Guide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and resources listed on </w:t>
            </w:r>
            <w:hyperlink r:id="rId9" w:history="1">
              <w:r w:rsidRPr="007149F3">
                <w:rPr>
                  <w:rStyle w:val="Hyperlink"/>
                  <w:rFonts w:ascii="Calibri" w:hAnsi="Calibri"/>
                  <w:sz w:val="22"/>
                  <w:szCs w:val="22"/>
                </w:rPr>
                <w:t>Curriculum Committees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website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506C33" w:rsidRDefault="005E686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N/A</w:t>
            </w:r>
          </w:p>
        </w:tc>
      </w:tr>
      <w:tr w:rsidR="005E6865" w:rsidRPr="00506C33" w:rsidTr="007149F3">
        <w:trPr>
          <w:trHeight w:val="378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1D5BE2" w:rsidRDefault="005E6865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hyperlink r:id="rId10" w:history="1">
              <w:r w:rsidRPr="007149F3">
                <w:rPr>
                  <w:rStyle w:val="Hyperlink"/>
                  <w:rFonts w:ascii="Calibri" w:hAnsi="Calibri"/>
                  <w:sz w:val="22"/>
                  <w:szCs w:val="22"/>
                </w:rPr>
                <w:t>English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(program alteration)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2E75AC" w:rsidRDefault="005E6865" w:rsidP="002E75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Discussed comments made in Curriculog. Costell Corbin motioned to approve, Van Der Karr seconded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506C33" w:rsidRDefault="005E686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E6865" w:rsidRPr="00506C33" w:rsidTr="0038605F">
        <w:trPr>
          <w:trHeight w:val="390"/>
        </w:trPr>
        <w:tc>
          <w:tcPr>
            <w:tcW w:w="451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hyperlink r:id="rId11" w:history="1">
              <w:r w:rsidRPr="00983F09">
                <w:rPr>
                  <w:rStyle w:val="Hyperlink"/>
                  <w:rFonts w:ascii="Calibri" w:hAnsi="Calibri"/>
                  <w:sz w:val="22"/>
                  <w:szCs w:val="22"/>
                </w:rPr>
                <w:t>EXS 310 – Ethical Issues in Kinesiology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(course alteration)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Romback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motioned to approve, Ortega seconded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E6865" w:rsidRPr="00506C33" w:rsidTr="007149F3">
        <w:trPr>
          <w:trHeight w:val="435"/>
        </w:trPr>
        <w:tc>
          <w:tcPr>
            <w:tcW w:w="451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Pr="0056586C" w:rsidRDefault="005E6865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PSY 404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Diller will follow-up with department regarding abbreviated title. Van Der Karr motioned to approve, Gravani seconded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5E6865" w:rsidRPr="00506C33" w:rsidTr="0038605F">
        <w:trPr>
          <w:trHeight w:val="430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EA55E8" w:rsidRDefault="005E6865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Sport Studies (program alteration)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Default="005E6865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Discussed Curriculum Preview needing to adjust credit hours as listed in proposal. Additionally, need to add EXS 250 in plan of study.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Vooris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motioned to conditionally approve, Costell Corbin seconded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Default="005E6865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Conditional Approved</w:t>
            </w:r>
          </w:p>
        </w:tc>
      </w:tr>
      <w:tr w:rsidR="005E6865" w:rsidRPr="00506C33" w:rsidTr="007149F3">
        <w:trPr>
          <w:trHeight w:val="430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6A5574" w:rsidRDefault="005E6865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Additional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Default="005E6865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Discussed requiring syllabi instead of outlines for curriculum proposals. Further discussion with the school committees and faculty senate is needed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506C33" w:rsidRDefault="005E6865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Polasek will reach out to Faculty Senate Steering Committee</w:t>
            </w:r>
          </w:p>
        </w:tc>
      </w:tr>
      <w:tr w:rsidR="005E6865" w:rsidRPr="00506C33" w:rsidTr="007149F3">
        <w:trPr>
          <w:trHeight w:val="435"/>
        </w:trPr>
        <w:tc>
          <w:tcPr>
            <w:tcW w:w="451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Pr="00CD35AD" w:rsidRDefault="005E6865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Default="005E6865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6865" w:rsidRDefault="005E6865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6865" w:rsidRPr="00506C33" w:rsidTr="0038605F">
        <w:trPr>
          <w:trHeight w:val="435"/>
        </w:trPr>
        <w:tc>
          <w:tcPr>
            <w:tcW w:w="451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8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Adjourned at 3:48. Ortega motioned and Diller seconded</w:t>
            </w:r>
          </w:p>
        </w:tc>
        <w:tc>
          <w:tcPr>
            <w:tcW w:w="270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  <w:tr w:rsidR="005E6865" w:rsidRPr="00506C33" w:rsidTr="007149F3">
        <w:trPr>
          <w:trHeight w:val="435"/>
        </w:trPr>
        <w:tc>
          <w:tcPr>
            <w:tcW w:w="451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5E6865" w:rsidRDefault="005E6865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149F3" w:rsidRDefault="007149F3" w:rsidP="007149F3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C653D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983F09" w:rsidRPr="00983F09" w:rsidRDefault="00983F09" w:rsidP="00983F09">
      <w:pPr>
        <w:ind w:right="-450"/>
        <w:jc w:val="right"/>
        <w:rPr>
          <w:rFonts w:ascii="Calibri" w:hAnsi="Calibri" w:cs="Arial"/>
          <w:sz w:val="20"/>
          <w:szCs w:val="18"/>
        </w:rPr>
      </w:pPr>
      <w:r w:rsidRPr="00983F09">
        <w:rPr>
          <w:rFonts w:ascii="Calibri" w:hAnsi="Calibri" w:cs="Arial"/>
          <w:sz w:val="20"/>
          <w:szCs w:val="18"/>
        </w:rPr>
        <w:t>Submitted by Nancy Diller</w:t>
      </w:r>
    </w:p>
    <w:p w:rsidR="00983F09" w:rsidRPr="00F74A0A" w:rsidRDefault="00983F09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983F09" w:rsidRPr="00F74A0A" w:rsidSect="00E57F3A">
      <w:footerReference w:type="default" r:id="rId12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17" w:rsidRDefault="00D84C17" w:rsidP="00097DBB">
      <w:r>
        <w:separator/>
      </w:r>
    </w:p>
  </w:endnote>
  <w:endnote w:type="continuationSeparator" w:id="0">
    <w:p w:rsidR="00D84C17" w:rsidRDefault="00D84C17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17" w:rsidRDefault="00D84C17" w:rsidP="00097DBB">
      <w:r>
        <w:separator/>
      </w:r>
    </w:p>
  </w:footnote>
  <w:footnote w:type="continuationSeparator" w:id="0">
    <w:p w:rsidR="00D84C17" w:rsidRDefault="00D84C17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D6FF5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E75AC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E6865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49F3"/>
    <w:rsid w:val="00716D47"/>
    <w:rsid w:val="00724078"/>
    <w:rsid w:val="00725471"/>
    <w:rsid w:val="0072704A"/>
    <w:rsid w:val="007308BC"/>
    <w:rsid w:val="0073369C"/>
    <w:rsid w:val="0073461B"/>
    <w:rsid w:val="00734D47"/>
    <w:rsid w:val="00740AB4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83F0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84C17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C63D2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66273"/>
    <w:rsid w:val="00F708C3"/>
    <w:rsid w:val="00F71FE6"/>
    <w:rsid w:val="00F74A0A"/>
    <w:rsid w:val="00F76A65"/>
    <w:rsid w:val="00F779A3"/>
    <w:rsid w:val="00F8229E"/>
    <w:rsid w:val="00F82F00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22E587"/>
  <w15:docId w15:val="{500860A6-A904-4431-BC27-E0F687E0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4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ortland.edu/academics/curriculum/forms/Curriculum%20Change%20Guide%20revised%20Nov%202018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cortland.edu/offices/publications/handbook/part-on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tland.curriculog.com/proposal:3246/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ortland.curriculog.com/proposal:299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cortland.edu/academics/curriculum/committe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2</cp:revision>
  <cp:lastPrinted>2012-02-03T14:02:00Z</cp:lastPrinted>
  <dcterms:created xsi:type="dcterms:W3CDTF">2020-09-10T16:47:00Z</dcterms:created>
  <dcterms:modified xsi:type="dcterms:W3CDTF">2020-09-10T16:47:00Z</dcterms:modified>
</cp:coreProperties>
</file>